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6D5" w:rsidRPr="00787BF1" w:rsidRDefault="00A606D5" w:rsidP="00A606D5">
      <w:pPr>
        <w:pStyle w:val="Heading2"/>
      </w:pPr>
      <w:bookmarkStart w:id="0" w:name="_Toc142149572"/>
      <w:bookmarkStart w:id="1" w:name="_Toc155342975"/>
      <w:bookmarkStart w:id="2" w:name="_GoBack"/>
      <w:r w:rsidRPr="00512206">
        <w:rPr>
          <w:b/>
          <w:sz w:val="24"/>
        </w:rPr>
        <w:t>297. XÉT XỬ SƠ THẨM DÂN SỰ</w:t>
      </w:r>
      <w:bookmarkEnd w:id="0"/>
      <w:bookmarkEnd w:id="2"/>
      <w:r w:rsidRPr="00787BF1">
        <w:rPr>
          <w:bCs/>
        </w:rPr>
        <w:t xml:space="preserve">, </w:t>
      </w:r>
      <w:r w:rsidRPr="00787BF1">
        <w:t>giải quyết vụ án dân sự ở cấp thấp nhất (cấp sơ thẩm) tại một Toà án có thẩm quyền.</w:t>
      </w:r>
      <w:bookmarkEnd w:id="1"/>
      <w:r w:rsidRPr="00787BF1">
        <w:t xml:space="preserve"> </w:t>
      </w:r>
    </w:p>
    <w:p w:rsidR="00A606D5" w:rsidRPr="00787BF1" w:rsidRDefault="00A606D5" w:rsidP="00A606D5">
      <w:pPr>
        <w:widowControl w:val="0"/>
        <w:shd w:val="clear" w:color="auto" w:fill="FFFFFF"/>
        <w:spacing w:before="120"/>
        <w:ind w:firstLine="284"/>
        <w:jc w:val="both"/>
        <w:rPr>
          <w:szCs w:val="28"/>
        </w:rPr>
      </w:pPr>
      <w:r w:rsidRPr="00787BF1">
        <w:rPr>
          <w:szCs w:val="28"/>
        </w:rPr>
        <w:t xml:space="preserve">XXSTDS được hiểu theo các phương diện khác nhau. Ở phương diện thứ nhất, XXSTDS là thủ tục giải quyết vụ án dân sự tại Toà án cấp sơ thẩm. Xét xử sơ thẩm bắt đầu từ khởi kiện, thụ lý vụ án, chuẩn bị xét xử và phiên toà xét xử vụ án dân sự. Ở phương diện thứ hai, XXSTDS được hiểu là một giai đoạn của quá trình tố tụng dân sự, bao gồm các hoạt động như chuẩn bị khai mạc phiên toà sơ thẩm vụ án dân sự, thủ tục bắt đầu phiên toà sơ thẩm, tranh tụng tại phiên toà, nghị án và tuyên án. Ở phương diện thứ ba, XXSTDS được hiểu là một cấp xét xử (cấp sơ thẩm) và đây là cấp xét xử đầu tiên trong hai cấp xét xử. Xét xử sơ thẩm và xét xử phúc thẩm là thực hiện nguyên tắc hai cấp xét xử, trong đó xét xử sơ thẩm là việc xét xử lần thứ nhất (cấp thứ nhất) do Toà án có thẩm quyền thực hiện theo quy định của pháp luật. Tất cả các vụ án dân sự được đưa ra xét xử đều phải trải qua xét xử ở cấp sơ thẩm. Ở phương diện thứ tư, XXSTDS được hiểu là một chế định pháp luật (chế định sơ thẩm) của pháp luật tố tụng dân sự. Theo đó, XXSTDS là tập hợp các quy định pháp luật về trình tự; thủ tục; phạm vi; thẩm quyền; về cơ quan tiến hành tố tụng, người tiến hành tố tụng, người tham gia tố tụng; về các khía cạnh chuyên biệt như chứng minh, chứng cứ, các biện pháp khẩn cấp tạm thời, án phí, lệ phí, chi phí tố tụng khác, cấp, tống đạt, thông báo văn bản tố tụng, thời hạn… </w:t>
      </w:r>
    </w:p>
    <w:p w:rsidR="00A606D5" w:rsidRPr="00787BF1" w:rsidRDefault="00A606D5" w:rsidP="00A606D5">
      <w:pPr>
        <w:widowControl w:val="0"/>
        <w:spacing w:before="120"/>
        <w:ind w:firstLine="284"/>
        <w:jc w:val="both"/>
        <w:rPr>
          <w:szCs w:val="28"/>
        </w:rPr>
      </w:pPr>
      <w:r w:rsidRPr="00787BF1">
        <w:rPr>
          <w:szCs w:val="28"/>
        </w:rPr>
        <w:t xml:space="preserve">Toà dân sự thuộc Toà án nhân dân tỉnh, thành phố trực thuộc trung ương; Toà án nhân dân huyện, quận, thị xã, thành phố thuộc tỉnh có thẩm quyền xét xử sơ thẩm những vụ án theo quy định của pháp luật tố tụng. </w:t>
      </w:r>
    </w:p>
    <w:p w:rsidR="00A606D5" w:rsidRPr="00787BF1" w:rsidRDefault="00A606D5" w:rsidP="00A606D5">
      <w:pPr>
        <w:widowControl w:val="0"/>
        <w:spacing w:before="120"/>
        <w:ind w:firstLine="284"/>
        <w:jc w:val="both"/>
        <w:rPr>
          <w:szCs w:val="28"/>
        </w:rPr>
      </w:pPr>
      <w:r w:rsidRPr="00787BF1">
        <w:rPr>
          <w:szCs w:val="28"/>
        </w:rPr>
        <w:t>Đối với Toà án nhân dân cấp huyện, các tranh chấp thuộc thẩm quyền XXSTDS rất đa dạng, có thể kể đến như: tranh chấp quốc tịch Việt Nam giữa cá nhân với cá nhân; tranh chấp về quyền sở hữu và các quyền khác đối với tài sản; tranh chấp về giao dịch dân sự, hợp đồng dân sự; tranh chấp về quyền sở hữu trí tuệ, chuyển giao công nghệ; tranh chấp về thừa kế tài sản; tranh chấp về bồi thường thiệt hại ngoài hợp đồng; tranh chấp về bồi thường thiệt hại do áp dụng các biện pháp ngăn chặn hành chính không đúng theo quy định của pháp luật về cạnh tranh trừ trường hợp đã được giải quyết trong vụ án hành chính; tranh chấp về khai thác, sử dụng tài nguyên nước, xả thải vào nguồn nước; tranh chấp đất đai, tranh chấp về quyền sở hữu, quyền sử dụng rừng; tranh chấp liên quan đến hoạt động nghiệp vụ báo chí; tranh chấp về kết quả đấu giá tài sản; tranh chấp liên quan đến yêu cầu tuyên bố văn bản công chứng vô hiệu; tranh chấp liên quan đến tài sản bị cưỡng chế thi hành án; các tranh chấp liên quan đến kinh doanh, thương mại giữa cá nhân, tổ chức với nhau đều có mục đích lợi nhuận; tranh chấp giữa người chưa phải thành viên của công ty nhưng có giao dịch về chuyển nhượng phần vốn góp với công ty, thành viên công ty; tranh chấp giữa các công ty thành viên; tranh chấp giữa công ty với người quản lý trong công ty trách nhiệm hữu hạn hoặc thành viên Hội đồng quản trị, giám đốc, tổng giám đốc trong công ty cổ phần, giữa các thành viên công ty với nhau liên quan đến việc thành lập, hoạt động, giải thể, sáp nhập, chia, tách, bàn giao tài sản của công ty, chuyển đổi hình thức tổ chức của công ty…</w:t>
      </w:r>
    </w:p>
    <w:p w:rsidR="00A606D5" w:rsidRPr="00787BF1" w:rsidRDefault="00A606D5" w:rsidP="00A606D5">
      <w:pPr>
        <w:widowControl w:val="0"/>
        <w:spacing w:before="120"/>
        <w:ind w:firstLine="284"/>
        <w:jc w:val="both"/>
        <w:rPr>
          <w:szCs w:val="28"/>
        </w:rPr>
      </w:pPr>
      <w:r w:rsidRPr="00787BF1">
        <w:rPr>
          <w:szCs w:val="28"/>
        </w:rPr>
        <w:lastRenderedPageBreak/>
        <w:t xml:space="preserve">Toà án nhân cấp tỉnh tiến hành XXSTDS đối với các tranh chấp thuộc lĩnh vực dân sự, hôn nhân và gia đình, kinh doanh, thương mại, lao động nhưng không thuộc thẩm quyền của Toà án nhân dân cấp huyện khi xét xử sơ thẩm. </w:t>
      </w:r>
    </w:p>
    <w:p w:rsidR="00A606D5" w:rsidRPr="00787BF1" w:rsidRDefault="00A606D5" w:rsidP="00A606D5">
      <w:pPr>
        <w:widowControl w:val="0"/>
        <w:spacing w:before="120"/>
        <w:ind w:firstLine="284"/>
        <w:jc w:val="both"/>
        <w:rPr>
          <w:szCs w:val="28"/>
        </w:rPr>
      </w:pPr>
      <w:r w:rsidRPr="00787BF1">
        <w:rPr>
          <w:szCs w:val="28"/>
        </w:rPr>
        <w:t xml:space="preserve">Điểm đáng lưu ý, các nguyên đơn, người yêu cầu cũng có quyền lựa chọn Toà án nhân dân để XXSTDS đối với các tranh chấp thuộc thẩm quyền Toà án nhưng không biết nơi cư trú, làm việc, trụ sở của bị đơn thì có quyền yêu cầu Toà án nơi mình cư trú, làm việc, có trụ sở cuối cùng hoặc nơi bị đơn có tài sản để giải quyết; Toà án nơi có trụ sở của chi nhánh hoặc nơi có trụ sở chính của tổ chức nếu tranh chấp liên quan đến tổ chức có chi nhánh này; Toà án nơi mình cư trú, làm việc, có trụ sở chính giải quyết khi liên quan đến tranh chấp cấp dưỡng mà bị đơn không có nơi cư trú, làm việc, trụ sở ở Việt Nam; Toà án nơi mình cư trú, làm việc, có trụ sở hoặc nơi xảy ra sự việc gây thiệt hại khi liên quan đến tranh chấp về bồi thường thiệt hại ngoài hợp đồng… Cho phép các nguyên đơn được lựa chọn Toà án XXSTDS trong các trường hợp riêng biệt sẽ đảm bảo bảo vệ quyền, lợi ích hợp pháp của các chủ thể một cách kịp thời. </w:t>
      </w:r>
    </w:p>
    <w:p w:rsidR="00A606D5" w:rsidRPr="00787BF1" w:rsidRDefault="00A606D5" w:rsidP="00A606D5">
      <w:pPr>
        <w:widowControl w:val="0"/>
        <w:spacing w:before="120"/>
        <w:ind w:firstLine="284"/>
        <w:jc w:val="both"/>
        <w:rPr>
          <w:szCs w:val="28"/>
        </w:rPr>
      </w:pPr>
      <w:r w:rsidRPr="00787BF1">
        <w:rPr>
          <w:szCs w:val="28"/>
        </w:rPr>
        <w:t>Hội đồng xét xử sơ thẩm các vụ án dân sự gồm một thẩm phán và hai hội thẩm nhân dân. Hiện nay, nhiều quốc gia trong đó có Việt Nam có quy định về thủ tục rút gọn thì nếu XXSTDS theo thủ tục này chỉ cần một thẩm phán tiến hành, không cần có sự tham gia của hai hội thẩm nhân dân. Bên cạnh đó, pháp luật cũng có những yêu cầu riêng dành cho thành phần của hội thẩm nhân dân như nếu có đương sự là người chưa thành niên thì phải có hội thẩm là người công tác tại Đoàn thanh niên Cộng sản Hồ Chí Minh hoặc Hội Liên hiệp phụ nữ Việt Nam hoặc cơ quan quản lý nhà nước về gia đình, cơ quan quản lý nhà nước về trẻ em. Yêu cầu này đảm bảo các hội thẩm là những cá nhân nắm rõ và có trách nhiệm bảo vệ quyền, lợi ích hợp pháp cho các đương sự đặc thù này. Trường hợp đương sự trong vụ án lao động thì hội thẩm phải là người đã hoặc đang công tác trong tổ chức đại diện tập thể lao động hoặc người có kiến thức về pháp luật lao động. Giữa các quốc gia có thể có những điểm khác biệt trong quy định riêng nhưng cơ bản, các quốc gia hiện nay đều thống nhất nguyên tắc bảo vệ tốt nhất các quyền, lợi ích cho mọi chủ thể trong xã hội, trong đó đương nhiên có các quyền, lợi ích của chủ thể trong các tranh chấp giải quyết tại Toà án theo XXSTDS.</w:t>
      </w:r>
    </w:p>
    <w:p w:rsidR="00A606D5" w:rsidRPr="00787BF1" w:rsidRDefault="00A606D5" w:rsidP="00A606D5">
      <w:pPr>
        <w:widowControl w:val="0"/>
        <w:spacing w:before="120"/>
        <w:ind w:firstLine="284"/>
        <w:jc w:val="both"/>
        <w:rPr>
          <w:szCs w:val="28"/>
        </w:rPr>
      </w:pPr>
      <w:r w:rsidRPr="00787BF1">
        <w:rPr>
          <w:szCs w:val="28"/>
        </w:rPr>
        <w:t>Bản án, quyết định sơ thẩm của Toà án có thể bị kháng cáo, kháng nghị theo thủ tục do pháp luật quy định. Bản án, quyết định sơ thẩm của Tòa án không bị kháng cáo, kháng nghị theo thủ tục phúc thẩm trong thời hạn do pháp luật quy định thì có hiệu lực pháp luật. Bản án, quyết định của Tòa án cấp sơ thẩm đã có hiệu lực pháp luật mà phát hiện có vi phạm pháp luật hoặc có tình tiết mới theo quy định của pháp luật thì được xem xét lại theo thủ tục giám đốc thẩm hoặc tái thẩm.</w:t>
      </w:r>
    </w:p>
    <w:p w:rsidR="00A606D5" w:rsidRPr="00787BF1" w:rsidRDefault="00A606D5" w:rsidP="00A606D5">
      <w:pPr>
        <w:spacing w:before="120"/>
        <w:ind w:firstLine="284"/>
        <w:jc w:val="right"/>
        <w:rPr>
          <w:sz w:val="22"/>
        </w:rPr>
      </w:pPr>
      <w:r w:rsidRPr="00787BF1">
        <w:rPr>
          <w:b/>
          <w:bCs/>
          <w:sz w:val="22"/>
        </w:rPr>
        <w:t>NGUYỄN ĐỨC MINH</w:t>
      </w:r>
    </w:p>
    <w:p w:rsidR="00A606D5" w:rsidRPr="00787BF1" w:rsidRDefault="00A606D5" w:rsidP="00A606D5">
      <w:pPr>
        <w:spacing w:before="120"/>
        <w:ind w:firstLine="284"/>
        <w:rPr>
          <w:b/>
          <w:szCs w:val="28"/>
        </w:rPr>
      </w:pPr>
      <w:r w:rsidRPr="00787BF1">
        <w:rPr>
          <w:b/>
          <w:bCs/>
          <w:sz w:val="24"/>
          <w:szCs w:val="24"/>
        </w:rPr>
        <w:t xml:space="preserve">Tài liệu tham khảo: </w:t>
      </w:r>
    </w:p>
    <w:p w:rsidR="00A606D5" w:rsidRPr="00787BF1" w:rsidRDefault="00A606D5" w:rsidP="00A606D5">
      <w:pPr>
        <w:pStyle w:val="ListParagraph"/>
        <w:widowControl w:val="0"/>
        <w:numPr>
          <w:ilvl w:val="2"/>
          <w:numId w:val="1"/>
        </w:numPr>
        <w:tabs>
          <w:tab w:val="left" w:pos="567"/>
        </w:tabs>
        <w:adjustRightInd w:val="0"/>
        <w:snapToGrid w:val="0"/>
        <w:spacing w:before="120"/>
        <w:ind w:left="0" w:firstLine="284"/>
        <w:contextualSpacing w:val="0"/>
        <w:jc w:val="both"/>
        <w:rPr>
          <w:sz w:val="24"/>
          <w:szCs w:val="24"/>
        </w:rPr>
      </w:pPr>
      <w:r w:rsidRPr="00787BF1">
        <w:rPr>
          <w:bCs/>
          <w:sz w:val="24"/>
          <w:szCs w:val="24"/>
        </w:rPr>
        <w:t>Trường Đại học Luật Hà Nội,</w:t>
      </w:r>
      <w:r w:rsidRPr="00787BF1">
        <w:rPr>
          <w:bCs/>
          <w:i/>
          <w:sz w:val="24"/>
          <w:szCs w:val="24"/>
        </w:rPr>
        <w:t xml:space="preserve"> Giáo trình Luật Tố</w:t>
      </w:r>
      <w:r w:rsidRPr="00787BF1">
        <w:rPr>
          <w:bCs/>
          <w:i/>
          <w:sz w:val="24"/>
          <w:szCs w:val="24"/>
          <w:lang w:val="vi-VN"/>
        </w:rPr>
        <w:t xml:space="preserve"> tụng dân sự Việt Nam</w:t>
      </w:r>
      <w:r w:rsidRPr="00787BF1">
        <w:rPr>
          <w:bCs/>
          <w:sz w:val="24"/>
          <w:szCs w:val="24"/>
        </w:rPr>
        <w:t xml:space="preserve">, </w:t>
      </w:r>
      <w:r>
        <w:rPr>
          <w:bCs/>
          <w:sz w:val="24"/>
          <w:szCs w:val="24"/>
        </w:rPr>
        <w:t>Nxb. Công an nhân dân</w:t>
      </w:r>
      <w:r w:rsidRPr="00787BF1">
        <w:rPr>
          <w:bCs/>
          <w:sz w:val="24"/>
          <w:szCs w:val="24"/>
        </w:rPr>
        <w:t>, Hà Nội, 201</w:t>
      </w:r>
      <w:r w:rsidRPr="00787BF1">
        <w:rPr>
          <w:bCs/>
          <w:sz w:val="24"/>
          <w:szCs w:val="24"/>
          <w:lang w:val="vi-VN"/>
        </w:rPr>
        <w:t>9.</w:t>
      </w:r>
    </w:p>
    <w:p w:rsidR="00A606D5" w:rsidRPr="00787BF1" w:rsidRDefault="00A606D5" w:rsidP="00A606D5">
      <w:pPr>
        <w:pStyle w:val="ListParagraph"/>
        <w:widowControl w:val="0"/>
        <w:numPr>
          <w:ilvl w:val="0"/>
          <w:numId w:val="1"/>
        </w:numPr>
        <w:tabs>
          <w:tab w:val="clear" w:pos="720"/>
          <w:tab w:val="left" w:pos="567"/>
        </w:tabs>
        <w:adjustRightInd w:val="0"/>
        <w:snapToGrid w:val="0"/>
        <w:spacing w:before="120"/>
        <w:ind w:left="0" w:firstLine="284"/>
        <w:contextualSpacing w:val="0"/>
        <w:jc w:val="both"/>
        <w:rPr>
          <w:sz w:val="24"/>
          <w:szCs w:val="24"/>
        </w:rPr>
      </w:pPr>
      <w:r w:rsidRPr="00787BF1">
        <w:rPr>
          <w:sz w:val="24"/>
          <w:szCs w:val="24"/>
        </w:rPr>
        <w:t xml:space="preserve">Trần Anh Tuấn, </w:t>
      </w:r>
      <w:r w:rsidRPr="00787BF1">
        <w:rPr>
          <w:i/>
          <w:iCs/>
          <w:sz w:val="24"/>
          <w:szCs w:val="24"/>
        </w:rPr>
        <w:t xml:space="preserve">Bình luận khoa học Bộ luật Tố tụng dân sự, </w:t>
      </w:r>
      <w:r w:rsidRPr="00787BF1">
        <w:rPr>
          <w:sz w:val="24"/>
          <w:szCs w:val="24"/>
        </w:rPr>
        <w:t xml:space="preserve">Nxb. Tư pháp, Hà Nội, 2017. </w:t>
      </w:r>
    </w:p>
    <w:p w:rsidR="00A606D5" w:rsidRPr="00787BF1" w:rsidRDefault="00A606D5" w:rsidP="00A606D5">
      <w:pPr>
        <w:pStyle w:val="ListParagraph"/>
        <w:widowControl w:val="0"/>
        <w:numPr>
          <w:ilvl w:val="0"/>
          <w:numId w:val="1"/>
        </w:numPr>
        <w:tabs>
          <w:tab w:val="clear" w:pos="720"/>
          <w:tab w:val="left" w:pos="567"/>
        </w:tabs>
        <w:adjustRightInd w:val="0"/>
        <w:snapToGrid w:val="0"/>
        <w:spacing w:before="120"/>
        <w:ind w:left="0" w:firstLine="284"/>
        <w:contextualSpacing w:val="0"/>
        <w:jc w:val="both"/>
        <w:rPr>
          <w:sz w:val="24"/>
          <w:szCs w:val="24"/>
        </w:rPr>
      </w:pPr>
      <w:r w:rsidRPr="00787BF1">
        <w:rPr>
          <w:sz w:val="24"/>
          <w:szCs w:val="24"/>
        </w:rPr>
        <w:lastRenderedPageBreak/>
        <w:t>Nguyễn</w:t>
      </w:r>
      <w:r w:rsidRPr="00787BF1">
        <w:rPr>
          <w:sz w:val="24"/>
          <w:szCs w:val="24"/>
          <w:lang w:val="vi-VN"/>
        </w:rPr>
        <w:t xml:space="preserve"> Công Bình </w:t>
      </w:r>
      <w:r>
        <w:rPr>
          <w:sz w:val="24"/>
          <w:szCs w:val="24"/>
          <w:lang w:val="vi-VN"/>
        </w:rPr>
        <w:t>(chủ biên)</w:t>
      </w:r>
      <w:r w:rsidRPr="00787BF1">
        <w:rPr>
          <w:sz w:val="24"/>
          <w:szCs w:val="24"/>
          <w:lang w:val="vi-VN"/>
        </w:rPr>
        <w:t xml:space="preserve">, </w:t>
      </w:r>
      <w:r w:rsidRPr="00787BF1">
        <w:rPr>
          <w:i/>
          <w:sz w:val="24"/>
          <w:szCs w:val="24"/>
          <w:lang w:val="vi-VN"/>
        </w:rPr>
        <w:t xml:space="preserve">Giáo trình Luật </w:t>
      </w:r>
      <w:r w:rsidRPr="00787BF1">
        <w:rPr>
          <w:i/>
          <w:sz w:val="24"/>
          <w:szCs w:val="24"/>
          <w:lang w:val="en-SG"/>
        </w:rPr>
        <w:t>T</w:t>
      </w:r>
      <w:r w:rsidRPr="00787BF1">
        <w:rPr>
          <w:i/>
          <w:sz w:val="24"/>
          <w:szCs w:val="24"/>
          <w:lang w:val="vi-VN"/>
        </w:rPr>
        <w:t>ố tụng dân sự Việt Nam</w:t>
      </w:r>
      <w:r w:rsidRPr="00787BF1">
        <w:rPr>
          <w:sz w:val="24"/>
          <w:szCs w:val="24"/>
          <w:lang w:val="vi-VN"/>
        </w:rPr>
        <w:t xml:space="preserve">, </w:t>
      </w:r>
      <w:r w:rsidRPr="00787BF1">
        <w:rPr>
          <w:bCs/>
          <w:sz w:val="24"/>
          <w:szCs w:val="24"/>
        </w:rPr>
        <w:t>Nxb.</w:t>
      </w:r>
      <w:r w:rsidRPr="00787BF1">
        <w:rPr>
          <w:sz w:val="24"/>
          <w:szCs w:val="24"/>
          <w:lang w:val="vi-VN"/>
        </w:rPr>
        <w:t xml:space="preserve"> Giáo dục Việt Nam, </w:t>
      </w:r>
      <w:r w:rsidRPr="00787BF1">
        <w:rPr>
          <w:sz w:val="24"/>
          <w:szCs w:val="24"/>
          <w:lang w:val="en-SG"/>
        </w:rPr>
        <w:t>H</w:t>
      </w:r>
      <w:r w:rsidRPr="00787BF1">
        <w:rPr>
          <w:sz w:val="24"/>
          <w:szCs w:val="24"/>
          <w:lang w:val="vi-VN"/>
        </w:rPr>
        <w:t>à Nội, 2011.</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5845"/>
    <w:multiLevelType w:val="multilevel"/>
    <w:tmpl w:val="F5EC2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D5"/>
    <w:rsid w:val="001324E1"/>
    <w:rsid w:val="005630BE"/>
    <w:rsid w:val="00666C5C"/>
    <w:rsid w:val="00A606D5"/>
    <w:rsid w:val="00A8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B490D-31E0-4194-A373-7540D2A5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6D5"/>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A606D5"/>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A606D5"/>
    <w:rPr>
      <w:rFonts w:eastAsia="Calibri"/>
      <w:b w:val="0"/>
      <w:iCs/>
    </w:rPr>
  </w:style>
  <w:style w:type="paragraph" w:styleId="ListParagraph">
    <w:name w:val="List Paragraph"/>
    <w:basedOn w:val="Normal"/>
    <w:uiPriority w:val="34"/>
    <w:qFormat/>
    <w:rsid w:val="00A606D5"/>
    <w:pPr>
      <w:ind w:left="720"/>
      <w:contextualSpacing/>
    </w:pPr>
    <w:rPr>
      <w:rFonts w:eastAsia="Times New Roman"/>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2025-12-15T05:03:00Z</dcterms:created>
  <dcterms:modified xsi:type="dcterms:W3CDTF">2025-12-15T05:04:00Z</dcterms:modified>
</cp:coreProperties>
</file>